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3"/>
        <w:spacing w:before="0" w:after="96"/>
        <w:ind w:left="0" w:right="0" w:hanging="0"/>
        <w:jc w:val="center"/>
        <w:rPr>
          <w:b/>
          <w:bCs/>
          <w:color w:val="3465A4"/>
        </w:rPr>
      </w:pPr>
      <w:r>
        <w:rPr>
          <w:b/>
          <w:bCs/>
          <w:color w:val="3465A4"/>
        </w:rPr>
        <w:t>Ты в порядке?</w:t>
      </w:r>
    </w:p>
    <w:p>
      <w:pPr>
        <w:pStyle w:val="Style13"/>
        <w:spacing w:before="0" w:after="96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40000" cy="19113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Style13"/>
        <w:spacing w:before="0" w:after="96"/>
        <w:ind w:left="0" w:right="0" w:hanging="0"/>
        <w:jc w:val="both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/>
      </w:r>
    </w:p>
    <w:p>
      <w:pPr>
        <w:pStyle w:val="Style13"/>
        <w:spacing w:before="0" w:after="96"/>
        <w:ind w:left="0" w:right="0" w:hanging="0"/>
        <w:jc w:val="both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/>
      </w:r>
    </w:p>
    <w:p>
      <w:pPr>
        <w:pStyle w:val="Style13"/>
        <w:spacing w:before="0" w:after="96"/>
        <w:ind w:left="0" w:right="0" w:hanging="0"/>
        <w:jc w:val="both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/>
      </w:r>
    </w:p>
    <w:p>
      <w:pPr>
        <w:pStyle w:val="Style13"/>
        <w:spacing w:before="0" w:after="96"/>
        <w:ind w:left="0" w:right="0" w:hanging="0"/>
        <w:jc w:val="both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/>
      </w:r>
    </w:p>
    <w:p>
      <w:pPr>
        <w:pStyle w:val="Style13"/>
        <w:spacing w:before="0" w:after="96"/>
        <w:ind w:left="0" w:right="0" w:hanging="0"/>
        <w:jc w:val="both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/>
      </w:r>
    </w:p>
    <w:p>
      <w:pPr>
        <w:pStyle w:val="Style13"/>
        <w:spacing w:before="0" w:after="96"/>
        <w:ind w:left="0" w:right="0" w:hanging="0"/>
        <w:jc w:val="both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/>
      </w:r>
    </w:p>
    <w:p>
      <w:pPr>
        <w:pStyle w:val="Style13"/>
        <w:spacing w:before="0" w:after="96"/>
        <w:ind w:left="0" w:right="0" w:hanging="0"/>
        <w:jc w:val="both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/>
      </w:r>
    </w:p>
    <w:p>
      <w:pPr>
        <w:pStyle w:val="Style13"/>
        <w:spacing w:before="0" w:after="96"/>
        <w:ind w:left="0" w:right="0" w:hanging="0"/>
        <w:jc w:val="both"/>
        <w:rPr/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По статистике, каждый третий школьник сталкивается с буллингом, в некоторых российских школах — каждый второй. Также известно, что у жертв буллинга в 3 раза чаще сверстников диагностируют апатию, тревожно-депрессивное расстройство, головные боли и попытки суицида. Рассказываем, как распознать депрессию у ребенка и помочь ему 👇🏻</w:t>
      </w:r>
    </w:p>
    <w:p>
      <w:pPr>
        <w:pStyle w:val="Style20"/>
        <w:spacing w:lineRule="atLeast" w:line="360"/>
        <w:jc w:val="center"/>
        <w:rPr>
          <w:rFonts w:ascii="arial;tahoma;san-serif" w:hAnsi="arial;tahoma;san-serif"/>
          <w:b/>
          <w:bCs/>
          <w:i w:val="false"/>
          <w:caps w:val="false"/>
          <w:smallCaps w:val="false"/>
          <w:color w:val="000000"/>
          <w:sz w:val="30"/>
        </w:rPr>
      </w:pPr>
      <w:r>
        <w:rPr>
          <w:rFonts w:ascii="arial;tahoma;san-serif" w:hAnsi="arial;tahoma;san-serif"/>
          <w:b/>
          <w:bCs/>
          <w:i w:val="false"/>
          <w:caps w:val="false"/>
          <w:smallCaps w:val="false"/>
          <w:color w:val="000000"/>
          <w:sz w:val="24"/>
        </w:rPr>
        <w:t>Что такое буллинг, его виды:</w:t>
      </w:r>
    </w:p>
    <w:p>
      <w:pPr>
        <w:pStyle w:val="Style20"/>
        <w:spacing w:lineRule="atLeast" w:line="330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bCs w:val="false"/>
          <w:i/>
          <w:iCs/>
          <w:caps w:val="false"/>
          <w:smallCaps w:val="false"/>
          <w:color w:val="000000"/>
          <w:sz w:val="24"/>
        </w:rPr>
        <w:t>Буллинг</w:t>
      </w: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 xml:space="preserve"> — это травля, регулярные издевательства одного ребенка над другим. Или группы детей над школьником. Буллинг может быть физическим (пинки, щипки, порча имущества) и психологическим (оскорбления, высмеивание, игнорирование). Часто один вид сопровождается другим  </w:t>
      </w:r>
    </w:p>
    <w:p>
      <w:pPr>
        <w:pStyle w:val="Style20"/>
        <w:spacing w:lineRule="atLeast" w:line="330"/>
        <w:rPr>
          <w:b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60"/>
        <w:jc w:val="left"/>
        <w:rPr>
          <w:rFonts w:ascii="arial;tahoma;san-serif" w:hAnsi="arial;tahoma;san-serif"/>
          <w:b/>
          <w:i w:val="false"/>
          <w:caps w:val="false"/>
          <w:smallCaps w:val="false"/>
          <w:color w:val="2A7A6E"/>
          <w:sz w:val="30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drawing>
          <wp:inline distT="0" distB="0" distL="0" distR="0">
            <wp:extent cx="1428750" cy="1428750"/>
            <wp:effectExtent l="0" t="0" r="0" b="0"/>
            <wp:docPr id="2" name="Изображение2 Копия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 Копия 1" descr="Im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lineRule="atLeast" w:line="360"/>
        <w:jc w:val="left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/>
          <w:i w:val="false"/>
          <w:caps w:val="false"/>
          <w:smallCaps w:val="false"/>
          <w:color w:val="2A7A6E"/>
          <w:sz w:val="30"/>
        </w:rPr>
      </w:r>
    </w:p>
    <w:p>
      <w:pPr>
        <w:pStyle w:val="Style20"/>
        <w:spacing w:lineRule="atLeast" w:line="360"/>
        <w:jc w:val="center"/>
        <w:rPr>
          <w:rFonts w:ascii="arial;tahoma;san-serif" w:hAnsi="arial;tahoma;san-serif"/>
          <w:b/>
          <w:bCs/>
          <w:i w:val="false"/>
          <w:caps w:val="false"/>
          <w:smallCaps w:val="false"/>
          <w:color w:val="C9211E"/>
          <w:sz w:val="30"/>
        </w:rPr>
      </w:pPr>
      <w:r>
        <w:rPr>
          <w:rFonts w:ascii="arial;tahoma;san-serif" w:hAnsi="arial;tahoma;san-serif"/>
          <w:b/>
          <w:bCs/>
          <w:i w:val="false"/>
          <w:caps w:val="false"/>
          <w:smallCaps w:val="false"/>
          <w:color w:val="C9211E"/>
          <w:sz w:val="24"/>
        </w:rPr>
        <w:t>Симптомы депрессии у жертвы буллинга</w:t>
      </w:r>
    </w:p>
    <w:p>
      <w:pPr>
        <w:pStyle w:val="Style20"/>
        <w:spacing w:lineRule="atLeast" w:line="360"/>
        <w:jc w:val="center"/>
        <w:rPr>
          <w:b w:val="false"/>
          <w:color w:val="000000"/>
          <w:sz w:val="24"/>
        </w:rPr>
      </w:pPr>
      <w:r>
        <w:rPr>
          <w:rFonts w:ascii="arial;tahoma;san-serif" w:hAnsi="arial;tahoma;san-serif"/>
          <w:b/>
          <w:i w:val="false"/>
          <w:caps w:val="false"/>
          <w:smallCaps w:val="false"/>
          <w:color w:val="8C142F"/>
          <w:sz w:val="30"/>
        </w:rPr>
      </w:r>
    </w:p>
    <w:p>
      <w:pPr>
        <w:pStyle w:val="Style20"/>
        <w:numPr>
          <w:ilvl w:val="0"/>
          <w:numId w:val="1"/>
        </w:numPr>
        <w:spacing w:lineRule="atLeast" w:line="315"/>
        <w:rPr/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Грусть, плач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Безнадежность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Потеря интереса к любимым занятиям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Увлечение темой смерти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Низкая самооценка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Снижение успеваемости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Деструктивное поведение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Раздражительность, гнев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Чувство вины, самокритика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Забывчивость, невнимательность, усталость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Гиперчувствительность к неудачам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Психомоторное возбуждение или заторможенность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Проблемы со сном, аппетитом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Физические боли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Отсутствие планов на будущее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Прощальные письма, раздача вещей</w:t>
      </w:r>
    </w:p>
    <w:p>
      <w:pPr>
        <w:pStyle w:val="Style20"/>
        <w:numPr>
          <w:ilvl w:val="0"/>
          <w:numId w:val="1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Самоповреждение, употребление алкоголя или других психоактивных веществ</w:t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30"/>
        <w:jc w:val="left"/>
        <w:rPr>
          <w:rFonts w:ascii="arial;tahoma;san-serif" w:hAnsi="arial;tahoma;san-serif"/>
          <w:b/>
          <w:i w:val="false"/>
          <w:caps w:val="false"/>
          <w:smallCaps w:val="false"/>
          <w:color w:val="8C142F"/>
          <w:sz w:val="30"/>
        </w:rPr>
      </w:pPr>
      <w:r>
        <w:rPr>
          <w:rFonts w:ascii="arial;tahoma;san-serif" w:hAnsi="arial;tahoma;san-serif"/>
          <w:b/>
          <w:i w:val="false"/>
          <w:caps w:val="false"/>
          <w:smallCaps w:val="false"/>
          <w:color w:val="8C142F"/>
          <w:sz w:val="30"/>
        </w:rPr>
        <w:t>Важно: нет универсального набора признаков. Главный критерий — резкие изменения в поведении ребенка, он становится не похож на себя.</w:t>
      </w:r>
    </w:p>
    <w:p>
      <w:pPr>
        <w:pStyle w:val="Style20"/>
        <w:spacing w:lineRule="atLeast" w:line="315"/>
        <w:rPr>
          <w:b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60"/>
        <w:jc w:val="center"/>
        <w:rPr>
          <w:rFonts w:ascii="arial;tahoma;san-serif" w:hAnsi="arial;tahoma;san-serif"/>
          <w:b/>
          <w:i w:val="false"/>
          <w:caps w:val="false"/>
          <w:smallCaps w:val="false"/>
          <w:color w:val="127622"/>
          <w:sz w:val="30"/>
        </w:rPr>
      </w:pPr>
      <w:r>
        <w:rPr>
          <w:rFonts w:ascii="arial;tahoma;san-serif" w:hAnsi="arial;tahoma;san-serif"/>
          <w:b/>
          <w:i w:val="false"/>
          <w:caps w:val="false"/>
          <w:smallCaps w:val="false"/>
          <w:color w:val="127622"/>
          <w:sz w:val="30"/>
        </w:rPr>
        <w:t>Как помочь ребенку</w:t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15"/>
        <w:rPr>
          <w:rFonts w:ascii="arial;tahoma;san-serif" w:hAnsi="arial;tahoma;san-serif"/>
          <w:b/>
          <w:i w:val="false"/>
          <w:caps w:val="false"/>
          <w:smallCaps w:val="false"/>
          <w:color w:val="022E5F"/>
          <w:sz w:val="30"/>
        </w:rPr>
      </w:pPr>
      <w:r>
        <w:rPr>
          <w:rFonts w:ascii="arial;tahoma;san-serif" w:hAnsi="arial;tahoma;san-serif"/>
          <w:b/>
          <w:i w:val="false"/>
          <w:caps w:val="false"/>
          <w:smallCaps w:val="false"/>
          <w:color w:val="022E5F"/>
          <w:sz w:val="30"/>
        </w:rPr>
      </w:r>
    </w:p>
    <w:p>
      <w:pPr>
        <w:pStyle w:val="Style20"/>
        <w:spacing w:lineRule="atLeast" w:line="330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 xml:space="preserve">Главное — сохранять спокойствие, потому что ребенку нужен надежный взрослый. </w:t>
      </w: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С</w:t>
      </w: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оздайте атмосферу любви, принятия и доверия. Важно транслировать: «Я все слышу и разделяю с тобой, я рядом. Давай найдем решение проблемы».</w:t>
        <w:br/>
        <w:br/>
      </w:r>
      <w:r>
        <w:rPr>
          <w:rFonts w:ascii="arial;tahoma;san-serif" w:hAnsi="arial;tahoma;san-serif"/>
          <w:b w:val="false"/>
          <w:i/>
          <w:iCs/>
          <w:caps w:val="false"/>
          <w:smallCaps w:val="false"/>
          <w:color w:val="127622"/>
          <w:sz w:val="24"/>
        </w:rPr>
        <w:t>Также во время общения с подростком важно:</w:t>
      </w:r>
    </w:p>
    <w:p>
      <w:pPr>
        <w:pStyle w:val="Style20"/>
        <w:spacing w:lineRule="atLeast" w:line="330"/>
        <w:rPr>
          <w:i/>
          <w:i/>
          <w:iCs/>
          <w:color w:val="127622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numPr>
          <w:ilvl w:val="0"/>
          <w:numId w:val="2"/>
        </w:numPr>
        <w:spacing w:lineRule="atLeast" w:line="315"/>
        <w:rPr/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Не осуждать, не обвинять, не спорить</w:t>
      </w:r>
    </w:p>
    <w:p>
      <w:pPr>
        <w:pStyle w:val="Style20"/>
        <w:numPr>
          <w:ilvl w:val="0"/>
          <w:numId w:val="2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Признавать суицид как один из вариантов, но не признавать его как «нормальный» вариант</w:t>
      </w:r>
    </w:p>
    <w:p>
      <w:pPr>
        <w:pStyle w:val="Style20"/>
        <w:numPr>
          <w:ilvl w:val="0"/>
          <w:numId w:val="2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Дать понять, что вы в курсе намерений подростка и попросить его поделиться переживаниями</w:t>
      </w:r>
    </w:p>
    <w:p>
      <w:pPr>
        <w:pStyle w:val="Style20"/>
        <w:numPr>
          <w:ilvl w:val="0"/>
          <w:numId w:val="2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Поощрять полную откровенность и активно слушать</w:t>
      </w:r>
    </w:p>
    <w:p>
      <w:pPr>
        <w:pStyle w:val="Style20"/>
        <w:numPr>
          <w:ilvl w:val="0"/>
          <w:numId w:val="2"/>
        </w:numPr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Помочь подростку спланировать совместное счастливое будущее</w:t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30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  <w:t>Главная задача — разговорить подростка. Описывая свое состояние и ситуацию, он начнет по-другому воспринимать случившееся. Если тревожные симптомы сохраняются, угрожают здоровью или мешают повседневной жизни — это серьезный повод обратиться к врачу-психиатру.</w:t>
        <w:br/>
        <w:br/>
        <w:t>Родители могут опасаться обращаться к психиатру, предполагая так называемую постановку на учет и проблемы у ребенка в будущем. В таком случае можно начать с психолога или психотерапевта: он проведет диагностику, окажет экстренную помощь и мягко направит подростка к профильному врачу.</w:t>
      </w:r>
    </w:p>
    <w:p>
      <w:pPr>
        <w:pStyle w:val="Style20"/>
        <w:spacing w:lineRule="atLeast" w:line="330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30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20"/>
        <w:spacing w:lineRule="atLeast" w:line="330"/>
        <w:jc w:val="left"/>
        <w:rPr>
          <w:rFonts w:ascii="arial;tahoma;san-serif" w:hAnsi="arial;tahoma;san-serif"/>
          <w:b/>
          <w:i w:val="false"/>
          <w:caps w:val="false"/>
          <w:smallCaps w:val="false"/>
          <w:color w:val="022E5F"/>
          <w:sz w:val="30"/>
        </w:rPr>
      </w:pPr>
      <w:r>
        <w:rPr>
          <w:rFonts w:ascii="arial;tahoma;san-serif" w:hAnsi="arial;tahoma;san-serif"/>
          <w:b/>
          <w:i w:val="false"/>
          <w:caps w:val="false"/>
          <w:smallCaps w:val="false"/>
          <w:color w:val="022E5F"/>
          <w:sz w:val="30"/>
        </w:rPr>
        <w:t>Полезные ресурсы:</w:t>
      </w:r>
    </w:p>
    <w:p>
      <w:pPr>
        <w:pStyle w:val="Style20"/>
        <w:spacing w:lineRule="atLeast" w:line="330"/>
        <w:jc w:val="left"/>
        <w:rPr>
          <w:rFonts w:ascii="arial;tahoma;san-serif" w:hAnsi="arial;tahoma;san-serif"/>
          <w:b/>
          <w:i w:val="false"/>
          <w:caps w:val="false"/>
          <w:smallCaps w:val="false"/>
          <w:color w:val="022E5F"/>
          <w:sz w:val="30"/>
        </w:rPr>
      </w:pPr>
      <w:r>
        <w:rPr>
          <w:rFonts w:ascii="arial;tahoma;san-serif" w:hAnsi="arial;tahoma;san-serif"/>
          <w:b/>
          <w:i w:val="false"/>
          <w:caps w:val="false"/>
          <w:smallCaps w:val="false"/>
          <w:color w:val="022E5F"/>
          <w:sz w:val="30"/>
        </w:rPr>
      </w:r>
    </w:p>
    <w:p>
      <w:pPr>
        <w:pStyle w:val="Style20"/>
        <w:spacing w:lineRule="atLeast" w:line="315"/>
        <w:rPr/>
      </w:pPr>
      <w:hyperlink r:id="rId4" w:tgtFrame="_blank">
        <w:r>
          <w:rPr>
            <w:rStyle w:val="-"/>
            <w:b w:val="false"/>
            <w:color w:val="000000"/>
            <w:sz w:val="32"/>
            <w:szCs w:val="32"/>
            <w:u w:val="single"/>
          </w:rPr>
          <w:t>Служба помощи «Травли нет»</w:t>
        </w:r>
      </w:hyperlink>
    </w:p>
    <w:p>
      <w:pPr>
        <w:pStyle w:val="Style20"/>
        <w:spacing w:lineRule="atLeast" w:line="315"/>
        <w:rPr>
          <w:b w:val="false"/>
          <w:color w:val="000000"/>
          <w:sz w:val="32"/>
          <w:szCs w:val="32"/>
          <w:u w:val="single"/>
        </w:rPr>
      </w:pPr>
      <w:r>
        <w:rPr/>
      </w:r>
    </w:p>
    <w:p>
      <w:pPr>
        <w:pStyle w:val="Style20"/>
        <w:spacing w:lineRule="atLeast" w:line="315"/>
        <w:rPr/>
      </w:pPr>
      <w:r>
        <w:rPr>
          <w:b w:val="false"/>
          <w:color w:val="000000"/>
          <w:sz w:val="32"/>
          <w:szCs w:val="32"/>
        </w:rPr>
        <w:t xml:space="preserve">Бесплатный телефон доверия для детей подростков и родителей: </w:t>
      </w:r>
      <w:hyperlink r:id="rId5" w:tgtFrame="_blank">
        <w:r>
          <w:rPr>
            <w:rStyle w:val="-"/>
            <w:b w:val="false"/>
            <w:color w:val="000000"/>
            <w:sz w:val="32"/>
            <w:szCs w:val="32"/>
            <w:u w:val="single"/>
          </w:rPr>
          <w:t>8-800-200-01-22</w:t>
        </w:r>
      </w:hyperlink>
    </w:p>
    <w:p>
      <w:pPr>
        <w:pStyle w:val="Style20"/>
        <w:spacing w:lineRule="atLeast" w:line="315"/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;tahoma;san-serif" w:hAnsi="arial;tahoma;san-serif"/>
          <w:b w:val="false"/>
          <w:i w:val="false"/>
          <w:caps w:val="false"/>
          <w:smallCaps w:val="false"/>
          <w:color w:val="000000"/>
          <w:sz w:val="24"/>
        </w:rPr>
      </w:r>
    </w:p>
    <w:p>
      <w:pPr>
        <w:pStyle w:val="Style13"/>
        <w:spacing w:before="0" w:after="96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304" w:right="73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0.5pt;height:10.5pt" o:bullet="t">
        <v:imagedata r:id="rId1" o:title=""/>
      </v:shape>
    </w:pict>
  </w:numPicBullet>
  <w:numPicBullet w:numPicBulletId="1">
    <w:pict>
      <v:shape style="width:11.55pt;height:8.6pt" o:bullet="t">
        <v:imagedata r:id="rId2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Lucida Sans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9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Style10">
    <w:name w:val="Emphasis"/>
    <w:qFormat/>
    <w:rPr>
      <w:i/>
      <w:iCs/>
    </w:rPr>
  </w:style>
  <w:style w:type="character" w:styleId="Style11">
    <w:name w:val="FollowedHyperlink"/>
    <w:rPr>
      <w:color w:val="80000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tn-mhr.mckl.ru/c/UeMWAAAA_DcAAGiS/UOZKBA/bH8wrSVJYLgGFcS4/?u=https%3A%2F%2Fxn--80aejlonqph.xn--p1ai%2F%3Futm_source%3Demail%26utm_medium%3Dmarketing%26utm_campaign%3D12-3_Nature-of-trust_email_marketing_sell_course_0_01042024_all_1vertical" TargetMode="External"/><Relationship Id="rId5" Type="http://schemas.openxmlformats.org/officeDocument/2006/relationships/hyperlink" Target="http://tel:88002000122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Application>LibreOffice/7.5.5.2$Windows_X86_64 LibreOffice_project/ca8fe7424262805f223b9a2334bc7181abbcbf5e</Application>
  <AppVersion>15.0000</AppVersion>
  <Pages>3</Pages>
  <Words>351</Words>
  <Characters>2263</Characters>
  <CharactersWithSpaces>2569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2024-03-11T14:26:56Z</cp:lastPrinted>
  <dcterms:modified xsi:type="dcterms:W3CDTF">2024-04-04T09:48:09Z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